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Изменения в</w:t>
      </w:r>
      <w:r>
        <w:rPr>
          <w:rFonts w:ascii="Times" w:hAnsi="Times" w:cs="Times"/>
          <w:sz w:val="28"/>
          <w:sz-cs w:val="28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проектную декларацию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на строительство «Комплекса жилых домов по адресу: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Костромская область, город Кострома, Московская улица, в районе дома 100».</w:t>
      </w:r>
    </w:p>
    <w:p>
      <w:pPr>
        <w:jc w:val="both"/>
        <w:ind w:left="709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16"/>
          <w:sz-cs w:val="16"/>
          <w:b/>
          <w:i/>
        </w:rPr>
        <w:t xml:space="preserve">Читать  п.2 в разделе  II.« Информация о проекте строительства» в следующей редакции:</w:t>
      </w:r>
    </w:p>
    <w:p>
      <w:pPr/>
      <w:r>
        <w:rPr>
          <w:rFonts w:ascii="Times" w:hAnsi="Times" w:cs="Times"/>
          <w:sz w:val="16"/>
          <w:sz-cs w:val="16"/>
          <w:b/>
          <w:i/>
        </w:rPr>
        <w:t xml:space="preserve"/>
      </w:r>
    </w:p>
    <w:p>
      <w:pPr>
        <w:ind w:left="786"/>
      </w:pPr>
      <w:r>
        <w:rPr>
          <w:rFonts w:ascii="Times" w:hAnsi="Times" w:cs="Times"/>
          <w:sz w:val="16"/>
          <w:sz-cs w:val="16"/>
          <w:b/>
        </w:rPr>
        <w:t xml:space="preserve">«2. Информация об этапах строительства: </w:t>
      </w:r>
    </w:p>
    <w:p>
      <w:pPr/>
      <w:r>
        <w:rPr>
          <w:rFonts w:ascii="Times" w:hAnsi="Times" w:cs="Times"/>
          <w:sz w:val="16"/>
          <w:sz-cs w:val="16"/>
          <w:b/>
          <w:i/>
        </w:rPr>
        <w:t xml:space="preserve">   </w:t>
      </w:r>
      <w:r>
        <w:rPr>
          <w:rFonts w:ascii="Times" w:hAnsi="Times" w:cs="Times"/>
          <w:sz w:val="18"/>
          <w:sz-cs w:val="18"/>
        </w:rPr>
        <w:t xml:space="preserve">Строительство домов разбито на III очереди:</w:t>
      </w:r>
    </w:p>
    <w:p>
      <w:pPr/>
      <w:r>
        <w:rPr>
          <w:rFonts w:ascii="Times" w:hAnsi="Times" w:cs="Times"/>
          <w:sz w:val="18"/>
          <w:sz-cs w:val="18"/>
        </w:rPr>
        <w:t xml:space="preserve">     I очередь- строительство домов: №№31, 33, 35(поГП),</w:t>
      </w:r>
    </w:p>
    <w:p>
      <w:pPr/>
      <w:r>
        <w:rPr>
          <w:rFonts w:ascii="Times" w:hAnsi="Times" w:cs="Times"/>
          <w:sz w:val="18"/>
          <w:sz-cs w:val="18"/>
        </w:rPr>
        <w:t xml:space="preserve">    II очередь- строительство домов: </w:t>
      </w:r>
    </w:p>
    <w:p>
      <w:pPr/>
      <w:r>
        <w:rPr>
          <w:rFonts w:ascii="Times" w:hAnsi="Times" w:cs="Times"/>
          <w:sz w:val="18"/>
          <w:sz-cs w:val="18"/>
        </w:rPr>
        <w:t xml:space="preserve">№№1,2,3,4,5,6,7,8,9,10,11,12,13,14,15,16,17,18,19,20,21,22,23,24,25,26,28,29,30,32,34,36,37,38,39,40,41,42,43,44,45,46, 47,48,49, 50,103,104 (по ГП); строительство автомобильной парковки закрытого типа: гаражные боксы:№1, №2, №3(по ГП);</w:t>
      </w:r>
    </w:p>
    <w:p>
      <w:pPr/>
      <w:r>
        <w:rPr>
          <w:rFonts w:ascii="Times" w:hAnsi="Times" w:cs="Times"/>
          <w:sz w:val="18"/>
          <w:sz-cs w:val="18"/>
        </w:rPr>
        <w:t xml:space="preserve">    III очередь- строительство домов: </w:t>
      </w:r>
      <w:r>
        <w:rPr>
          <w:rFonts w:ascii="Times" w:hAnsi="Times" w:cs="Times"/>
          <w:sz w:val="18"/>
          <w:sz-cs w:val="18"/>
          <w:color w:val="FF0000"/>
        </w:rPr>
        <w:t xml:space="preserve">27</w:t>
      </w:r>
      <w:r>
        <w:rPr>
          <w:rFonts w:ascii="Times" w:hAnsi="Times" w:cs="Times"/>
          <w:sz w:val="18"/>
          <w:sz-cs w:val="18"/>
        </w:rPr>
        <w:t xml:space="preserve">, 105,106(по ГП); индивидуальных жилых домов:</w:t>
      </w:r>
    </w:p>
    <w:p>
      <w:pPr/>
      <w:r>
        <w:rPr>
          <w:rFonts w:ascii="Times" w:hAnsi="Times" w:cs="Times"/>
          <w:sz w:val="18"/>
          <w:sz-cs w:val="18"/>
        </w:rPr>
        <w:t xml:space="preserve"> №№ 62,64,66,68,70,73,75,77,79,81,83,85,87,90,92,94,96,98,99</w:t>
      </w:r>
    </w:p>
    <w:p>
      <w:pPr/>
      <w:r>
        <w:rPr>
          <w:rFonts w:ascii="Times" w:hAnsi="Times" w:cs="Times"/>
          <w:sz w:val="18"/>
          <w:sz-cs w:val="18"/>
        </w:rPr>
        <w:t xml:space="preserve">               Окончание:    I-й очереди -  31 мая 2012 года.</w:t>
      </w:r>
    </w:p>
    <w:p>
      <w:pPr/>
      <w:r>
        <w:rPr>
          <w:rFonts w:ascii="Times" w:hAnsi="Times" w:cs="Times"/>
          <w:sz w:val="18"/>
          <w:sz-cs w:val="18"/>
        </w:rPr>
        <w:t xml:space="preserve">                                       II-й очереди-  31 декабря 2015 года.</w:t>
      </w:r>
    </w:p>
    <w:p>
      <w:pPr/>
      <w:r>
        <w:rPr>
          <w:rFonts w:ascii="Times" w:hAnsi="Times" w:cs="Times"/>
          <w:sz w:val="18"/>
          <w:sz-cs w:val="18"/>
        </w:rPr>
        <w:t xml:space="preserve">                                       III-й очереди -31 декабря 2016 года».</w:t>
      </w:r>
    </w:p>
    <w:p>
      <w:pPr/>
      <w:r>
        <w:rPr>
          <w:rFonts w:ascii="Times" w:hAnsi="Times" w:cs="Times"/>
          <w:sz w:val="18"/>
          <w:sz-cs w:val="18"/>
        </w:rPr>
        <w:t xml:space="preserve"> 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>Добавить в  п.4.  раздела  II.« Информация о проекте строительства»  следующую редакцию:</w:t>
      </w:r>
    </w:p>
    <w:p>
      <w:pPr>
        <w:ind w:left="426"/>
      </w:pPr>
      <w:r>
        <w:rPr>
          <w:rFonts w:ascii="Times" w:hAnsi="Times" w:cs="Times"/>
          <w:sz w:val="18"/>
          <w:sz-cs w:val="18"/>
          <w:b/>
        </w:rPr>
        <w:t xml:space="preserve">      «Разрешение на строительство от  06.03.2013г., действительно до 15.08.2014г.:</w:t>
      </w:r>
    </w:p>
    <w:p>
      <w:pPr>
        <w:ind w:left="720" w:first-line="-720"/>
      </w:pPr>
      <w:r>
        <w:rPr>
          <w:rFonts w:ascii="Times" w:hAnsi="Times" w:cs="Times"/>
          <w:sz w:val="18"/>
          <w:sz-cs w:val="18"/>
        </w:rPr>
        <w:t xml:space="preserve"/>
        <w:tab/>
        <w:t xml:space="preserve">•</w:t>
        <w:tab/>
        <w:t xml:space="preserve">Разрешение на строительство № RU 44328000-69/2/2012 от 06.03.2013 г. – на строительство многоквартирного  жилого дома № 27 по ГП; №74 по градостроительному плану»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>Читать подпункт в  п. 2. подраздела  «Информация о проекте строительства» в следующей редакции</w:t>
      </w:r>
      <w:r>
        <w:rPr>
          <w:rFonts w:ascii="Times" w:hAnsi="Times" w:cs="Times"/>
          <w:sz w:val="18"/>
          <w:sz-cs w:val="18"/>
          <w:i/>
        </w:rPr>
        <w:t xml:space="preserve">:</w:t>
      </w:r>
    </w:p>
    <w:p>
      <w:pPr>
        <w:jc w:val="both"/>
        <w:ind w:left="360"/>
      </w:pPr>
      <w:r>
        <w:rPr>
          <w:rFonts w:ascii="Times" w:hAnsi="Times" w:cs="Times"/>
          <w:sz w:val="18"/>
          <w:sz-cs w:val="18"/>
          <w:b/>
        </w:rPr>
        <w:t xml:space="preserve">«2. Описание строящихся многоквартирных домов: </w:t>
      </w:r>
    </w:p>
    <w:p>
      <w:pPr>
        <w:jc w:val="both"/>
        <w:ind w:left="360"/>
      </w:pPr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18"/>
          <w:sz-cs w:val="18"/>
          <w:i/>
        </w:rPr>
        <w:t xml:space="preserve">                  проектируемая жилая группа 2-ой очереди состоит из 46 отдельно стоящих трехэтажных многоквартирных домов. Из них:</w:t>
      </w:r>
    </w:p>
    <w:p>
      <w:pPr>
        <w:jc w:val="both"/>
      </w:pPr>
      <w:r>
        <w:rPr>
          <w:rFonts w:ascii="Times" w:hAnsi="Times" w:cs="Times"/>
          <w:sz w:val="18"/>
          <w:sz-cs w:val="18"/>
          <w:i/>
        </w:rPr>
        <w:t xml:space="preserve">          </w:t>
      </w:r>
      <w:r>
        <w:rPr>
          <w:rFonts w:ascii="Times" w:hAnsi="Times" w:cs="Times"/>
          <w:sz w:val="18"/>
          <w:sz-cs w:val="18"/>
        </w:rPr>
        <w:t xml:space="preserve">- двухсекционных, 48 квартир- 1 дом. Общая площадь квартир 2312,4 кв.м;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двухсекционных,  36 квартир – 2дома. Общая площадь квартир 2697,6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двухсекционных, 39 квартир- 4 дома. Общая площадь квартир 6998,1кв.м.;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двухсекционных, 24 квартиры- 2дома. Общая площадь квартир 3474,8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30квартир – 2дома. Общая площадь квартир 4515,0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33квартиры – 2дома. Общая площадь квартир 4524,6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42 квартиры – 4дома. Общая площадь квартир 11171,53 кв.м.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45 квартир – 1дом. Общая площадь квартир 2646,8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48 квартир – 3дома. Общая площадь квартир 8054,1 кв.м;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51 квартира – 1дом. Общая площадь квартир 2606,1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трёхсекционных,  54 квартиры – 2дома. Общая площадь квартир 5508,98кв.м.;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четырёхсекционных,  48 квартир – 4дома. Общая площадь квартир 10757,4кв.м.;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четырёхсекционных,  54 квартиры – 3дома. Общая площадь квартир 10817,38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четырёхсекционных,  60 квартир – 2дома. Общая площадь квартир 7616,80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четырёхсекционных,  69 квартир – 1дом. Общая площадь квартир 3719,89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четырёхсекционных,  63 квартиры – 2дома. Общая площадь квартир 7439,78 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- четырёхсекционных,  72 квартиры – 10домов. Общая площадь квартир 21726кв.м.;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/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  <w:color w:val="000000"/>
        </w:rPr>
        <w:t xml:space="preserve">Общая площадь квартир: 124613,76 кв.м.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Строительный объем: 587509,60 куб.м.</w:t>
      </w:r>
    </w:p>
    <w:p>
      <w:pPr>
        <w:jc w:val="both"/>
        <w:ind w:left="426"/>
      </w:pPr>
      <w:r>
        <w:rPr>
          <w:rFonts w:ascii="Times" w:hAnsi="Times" w:cs="Times"/>
          <w:sz w:val="18"/>
          <w:sz-cs w:val="18"/>
        </w:rPr>
        <w:t xml:space="preserve">Площадь застройки: 51402,43 кв.м.»</w:t>
      </w:r>
    </w:p>
    <w:p>
      <w:pPr>
        <w:jc w:val="both"/>
      </w:pPr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>Читать п. 4.  в подразделе  «Информация о проекте строительства»  в следующей редакции:</w:t>
      </w:r>
    </w:p>
    <w:p>
      <w:pPr>
        <w:jc w:val="both"/>
        <w:ind w:left="720"/>
      </w:pPr>
      <w:r>
        <w:rPr>
          <w:rFonts w:ascii="Times" w:hAnsi="Times" w:cs="Times"/>
          <w:sz w:val="18"/>
          <w:sz-cs w:val="18"/>
        </w:rPr>
        <w:t xml:space="preserve">«4. Информация о количестве в составе строящихся (создаваемых) многоквартирных домов самостоятельных частей (квартир в многоквартирном доме):</w:t>
      </w:r>
    </w:p>
    <w:p>
      <w:pPr>
        <w:jc w:val="both"/>
      </w:pPr>
      <w:r>
        <w:rPr>
          <w:rFonts w:ascii="Times" w:hAnsi="Times" w:cs="Times"/>
          <w:sz w:val="18"/>
          <w:sz-cs w:val="18"/>
        </w:rPr>
        <w:t xml:space="preserve">Всего квартир: 2404 квартиры.</w:t>
      </w:r>
    </w:p>
    <w:p>
      <w:pPr>
        <w:jc w:val="both"/>
        <w:ind w:left="360"/>
      </w:pPr>
      <w:r>
        <w:rPr>
          <w:rFonts w:ascii="Times" w:hAnsi="Times" w:cs="Times"/>
          <w:sz w:val="18"/>
          <w:sz-cs w:val="18"/>
        </w:rPr>
        <w:t xml:space="preserve"> В жилых домах, а также в индивидуальных жилых домах проектом не предусмотрены нежилые помещения, входящие в состав общего имущества». 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05 мая 2014 г.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                                                                    Генеральный директор ООО «Венеция» __________________В. И.Кузьмин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>
        <w:jc w:val="center"/>
      </w:pPr>
      <w:r>
        <w:rPr>
          <w:rFonts w:ascii="Arial" w:hAnsi="Arial" w:cs="Arial"/>
          <w:sz w:val="32"/>
          <w:sz-cs w:val="32"/>
          <w:b/>
        </w:rPr>
        <w:t xml:space="preserve">Общество с ограниченной ответственностью</w:t>
      </w:r>
    </w:p>
    <w:p>
      <w:pPr>
        <w:jc w:val="center"/>
      </w:pPr>
      <w:r>
        <w:rPr>
          <w:rFonts w:ascii="Arial" w:hAnsi="Arial" w:cs="Arial"/>
          <w:sz w:val="32"/>
          <w:sz-cs w:val="32"/>
          <w:b/>
        </w:rPr>
        <w:t xml:space="preserve">«Венеция»</w:t>
      </w:r>
    </w:p>
    <w:p>
      <w:pPr>
        <w:jc w:val="center"/>
      </w:pPr>
      <w:r>
        <w:rPr>
          <w:rFonts w:ascii="Arial" w:hAnsi="Arial" w:cs="Arial"/>
          <w:sz w:val="32"/>
          <w:sz-cs w:val="32"/>
          <w:b/>
        </w:rPr>
        <w:t xml:space="preserve"/>
      </w:r>
    </w:p>
    <w:p>
      <w:pPr>
        <w:jc w:val="center"/>
      </w:pPr>
      <w:r>
        <w:rPr>
          <w:rFonts w:ascii="Arial" w:hAnsi="Arial" w:cs="Arial"/>
          <w:sz w:val="22"/>
          <w:sz-cs w:val="22"/>
        </w:rPr>
        <w:t xml:space="preserve">Юр. адрес: Костромская область, Самоковская ул., г. Кострома, д.10А тел. 302-770</w:t>
      </w:r>
    </w:p>
    <w:p>
      <w:pPr>
        <w:jc w:val="center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center"/>
      </w:pPr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both"/>
      </w:pPr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Исх  №  б/н </w:t>
      </w:r>
      <w:r>
        <w:rPr>
          <w:rFonts w:ascii="Times" w:hAnsi="Times" w:cs="Times"/>
          <w:sz w:val="24"/>
          <w:sz-cs w:val="24"/>
          <w:color w:val="000000"/>
        </w:rPr>
        <w:t xml:space="preserve"> от 05.05. 2014</w:t>
      </w:r>
      <w:r>
        <w:rPr>
          <w:rFonts w:ascii="Times" w:hAnsi="Times" w:cs="Times"/>
          <w:sz w:val="24"/>
          <w:sz-cs w:val="24"/>
          <w:color w:val="0000FF"/>
        </w:rPr>
        <w:t xml:space="preserve">г.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        Управление Федеральной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        службы государственной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        регистрации, кадастра и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        картографии  по Костромской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        области</w:t>
      </w:r>
    </w:p>
    <w:p>
      <w:pPr/>
      <w:r>
        <w:rPr>
          <w:rFonts w:ascii="Times" w:hAnsi="Times" w:cs="Times"/>
          <w:sz w:val="24"/>
          <w:sz-cs w:val="24"/>
        </w:rPr>
        <w:t xml:space="preserve">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СПРАВКА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spacing w:before="50" w:after="10"/>
      </w:pPr>
      <w:r>
        <w:rPr>
          <w:rFonts w:ascii="Times" w:hAnsi="Times" w:cs="Times"/>
          <w:sz w:val="24"/>
          <w:sz-cs w:val="24"/>
        </w:rPr>
        <w:t xml:space="preserve">Изменения в проектную декларацию от  05.05.2014 на строительство «Комплекса жилых  по адресу: г.Кострома, Московская улица, в районе дома 100»  были опубликованы на сайте  www.kfk44.ru.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Генеральный  директор                                                        ______________В.И.Кузьмин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</cp:coreProperties>
</file>

<file path=docProps/meta.xml><?xml version="1.0" encoding="utf-8"?>
<meta xmlns="http://schemas.apple.com/cocoa/2006/metadata">
  <generator>CocoaOOXMLWriter/1265.21</generator>
</meta>
</file>